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388" w:rsidRPr="00BB08E0" w:rsidRDefault="003E0F84">
      <w:pPr>
        <w:rPr>
          <w:rFonts w:cstheme="minorHAnsi"/>
          <w:b/>
        </w:rPr>
      </w:pPr>
      <w:r w:rsidRPr="00BB08E0">
        <w:rPr>
          <w:rFonts w:cstheme="minorHAnsi"/>
          <w:b/>
        </w:rPr>
        <w:t>Zakon o otocima NN116/18</w:t>
      </w:r>
    </w:p>
    <w:p w:rsidR="003E0F84" w:rsidRPr="00BB08E0" w:rsidRDefault="00BB08E0">
      <w:pPr>
        <w:rPr>
          <w:rFonts w:cstheme="minorHAnsi"/>
        </w:rPr>
      </w:pPr>
      <w:hyperlink r:id="rId4" w:history="1">
        <w:r w:rsidR="003E0F84" w:rsidRPr="00BB08E0">
          <w:rPr>
            <w:rStyle w:val="Hyperlink"/>
            <w:rFonts w:cstheme="minorHAnsi"/>
          </w:rPr>
          <w:t>https://www.zakon.hr/z/638/Zakon-o-otocima</w:t>
        </w:r>
      </w:hyperlink>
    </w:p>
    <w:p w:rsidR="009724F6" w:rsidRPr="00BB08E0" w:rsidRDefault="009724F6" w:rsidP="003E0F84">
      <w:pPr>
        <w:rPr>
          <w:rFonts w:cstheme="minorHAnsi"/>
        </w:rPr>
      </w:pPr>
      <w:bookmarkStart w:id="0" w:name="_GoBack"/>
      <w:bookmarkEnd w:id="0"/>
    </w:p>
    <w:p w:rsidR="003E0F84" w:rsidRPr="00BB08E0" w:rsidRDefault="003E0F84" w:rsidP="003E0F84">
      <w:pPr>
        <w:rPr>
          <w:rFonts w:cstheme="minorHAnsi"/>
          <w:b/>
        </w:rPr>
      </w:pPr>
      <w:r w:rsidRPr="00BB08E0">
        <w:rPr>
          <w:rFonts w:cstheme="minorHAnsi"/>
          <w:b/>
        </w:rPr>
        <w:t>Zakon o brdsko-planinskim područjima NN 118/18</w:t>
      </w:r>
    </w:p>
    <w:p w:rsidR="003E0F84" w:rsidRPr="00BB08E0" w:rsidRDefault="003E0F84" w:rsidP="003E0F84">
      <w:pPr>
        <w:rPr>
          <w:rFonts w:cstheme="minorHAnsi"/>
        </w:rPr>
      </w:pPr>
      <w:r w:rsidRPr="00BB08E0">
        <w:rPr>
          <w:rFonts w:cstheme="minorHAnsi"/>
        </w:rPr>
        <w:t>Odluka o obuhvatu i razvrstavanju jedinica lokalne samouprave koje stječu status brdsko-planinskog područja NN 24/19 od 11.3.2019.</w:t>
      </w:r>
    </w:p>
    <w:p w:rsidR="003E0F84" w:rsidRPr="00BB08E0" w:rsidRDefault="003E0F84" w:rsidP="003E0F84">
      <w:pPr>
        <w:spacing w:after="225" w:line="360" w:lineRule="atLeast"/>
        <w:jc w:val="center"/>
        <w:outlineLvl w:val="2"/>
        <w:rPr>
          <w:rFonts w:eastAsia="Times New Roman" w:cstheme="minorHAnsi"/>
          <w:b/>
          <w:color w:val="444444"/>
          <w:lang w:eastAsia="hr-HR"/>
        </w:rPr>
      </w:pPr>
      <w:r w:rsidRPr="00BB08E0">
        <w:rPr>
          <w:rFonts w:eastAsia="Times New Roman" w:cstheme="minorHAnsi"/>
          <w:b/>
          <w:color w:val="444444"/>
          <w:lang w:eastAsia="hr-HR"/>
        </w:rPr>
        <w:t>NN 24/2019 (11.3.2019.), Odluka o obuhvatu i razvrstavanju jedinica lokalne samouprave koje stječu status brdsko-planinskog područja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VLADA REPUBLIKE HRVATSKE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484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Na temelju članka 7. stavka 9. Zakona o brdsko-planinskim područjima (»Narodne novine«, broj 118/18), Vlada Republike Hrvatske je na sjednici održanoj 8. ožujka 2019. godine donijela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ODLUKU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O OBUHVATU I RAZVRSTAVANJU JEDINICA LOKALNE SAMOUPRAVE KOJE STJEČU STATUS BRDSKO-PLANINSKOG PODRUČJA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I.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Ovom Odlukom utvrđuje se obuhvat i razvrstavaju se jedinice lokalne samouprave koje stječu status brdsko-planinskog područja.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II.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Jedinice lokalne samouprave koje ostvaruju status brdsko-planinskog područja razvrstavaju se u:</w:t>
      </w:r>
    </w:p>
    <w:p w:rsidR="003E0F84" w:rsidRPr="00BB08E0" w:rsidRDefault="003E0F84" w:rsidP="003E0F84">
      <w:pPr>
        <w:spacing w:after="0" w:line="336" w:lineRule="atLeast"/>
        <w:jc w:val="both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b/>
          <w:color w:val="666666"/>
          <w:lang w:eastAsia="hr-HR"/>
        </w:rPr>
        <w:t>– I.</w:t>
      </w:r>
      <w:r w:rsidRPr="00BB08E0">
        <w:rPr>
          <w:rFonts w:eastAsia="Times New Roman" w:cstheme="minorHAnsi"/>
          <w:color w:val="666666"/>
          <w:lang w:eastAsia="hr-HR"/>
        </w:rPr>
        <w:t xml:space="preserve"> skupinu koju čine jedinice lokalne samouprave sa statusom potpomognutog područja: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Vrhovine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Mrkopalj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Lanišće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Skrad, Saborsko,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Lokvičići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Udbina,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Civljane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Gračac,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Kijevo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Brod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Moravice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Donji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Lapac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Žumberak,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Zagvozd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Brinje, Vrlika, Perušić, Otočac, Vrbovsko, Lovinac, Plaški,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Hrvace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Ružić,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Muć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Otok,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Josipdol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Runovići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Knin,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Podbablje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Vrgorac,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Lobor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Lećevica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Dicmo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Brestovac, Trilj, Lovreć,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Cernik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Sirač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Cista Provo,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Proložac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Biskupija, Kalnik,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Ervenik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Pakrac, Prgomet, Velika,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Budinšćina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>, Kaptol, Lepoglava, Šestanovac, Bednja</w:t>
      </w:r>
    </w:p>
    <w:p w:rsidR="003E0F84" w:rsidRPr="00BB08E0" w:rsidRDefault="003E0F84" w:rsidP="003E0F84">
      <w:pPr>
        <w:spacing w:after="0" w:line="336" w:lineRule="atLeast"/>
        <w:jc w:val="both"/>
        <w:rPr>
          <w:rFonts w:eastAsia="Times New Roman" w:cstheme="minorHAnsi"/>
          <w:color w:val="666666"/>
          <w:lang w:eastAsia="hr-HR"/>
        </w:rPr>
      </w:pPr>
    </w:p>
    <w:p w:rsidR="003E0F84" w:rsidRPr="00BB08E0" w:rsidRDefault="003E0F84" w:rsidP="003E0F84">
      <w:pPr>
        <w:spacing w:after="0" w:line="336" w:lineRule="atLeast"/>
        <w:jc w:val="both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b/>
          <w:color w:val="666666"/>
          <w:lang w:eastAsia="hr-HR"/>
        </w:rPr>
        <w:t>– II.</w:t>
      </w:r>
      <w:r w:rsidRPr="00BB08E0">
        <w:rPr>
          <w:rFonts w:eastAsia="Times New Roman" w:cstheme="minorHAnsi"/>
          <w:color w:val="666666"/>
          <w:lang w:eastAsia="hr-HR"/>
        </w:rPr>
        <w:t xml:space="preserve"> skupinu koju čine jedinice lokalne samouprave koje se prema vrijednosti indeksa razvijenosti nalaze u trećoj i četvrtoj četvrtini iznadprosječno rangiranih jedinica lokalne samouprave: Ravna Gora, Čabar, Lokve,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Fužine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Delnice, Plitvička Jezera, Karlobag, Senj, Klana, Ogulin, Vinodolska Općina,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Lupoglav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Starigrad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Novi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Golubovec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Gospić, Jesenje, Rakovica,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Đurmanec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Cerovlje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Oprtalj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Sinj, Klis,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Ljubešćica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 xml:space="preserve">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Radoboj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>, Dubrovačko Primorje, Hum na Sutli</w:t>
      </w:r>
    </w:p>
    <w:p w:rsidR="003E0F84" w:rsidRPr="00BB08E0" w:rsidRDefault="003E0F84" w:rsidP="003E0F84">
      <w:pPr>
        <w:spacing w:after="0" w:line="336" w:lineRule="atLeast"/>
        <w:jc w:val="both"/>
        <w:rPr>
          <w:rFonts w:eastAsia="Times New Roman" w:cstheme="minorHAnsi"/>
          <w:color w:val="666666"/>
          <w:lang w:eastAsia="hr-HR"/>
        </w:rPr>
      </w:pPr>
    </w:p>
    <w:p w:rsidR="003E0F84" w:rsidRPr="00BB08E0" w:rsidRDefault="003E0F84" w:rsidP="003E0F84">
      <w:pPr>
        <w:spacing w:after="0" w:line="336" w:lineRule="atLeast"/>
        <w:jc w:val="both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b/>
          <w:color w:val="666666"/>
          <w:lang w:eastAsia="hr-HR"/>
        </w:rPr>
        <w:t>– III.</w:t>
      </w:r>
      <w:r w:rsidRPr="00BB08E0">
        <w:rPr>
          <w:rFonts w:eastAsia="Times New Roman" w:cstheme="minorHAnsi"/>
          <w:color w:val="666666"/>
          <w:lang w:eastAsia="hr-HR"/>
        </w:rPr>
        <w:t xml:space="preserve"> skupinu koju čine jedinice lokalne samouprave koje se prema vrijednosti indeksa razvijenosti nalaze u prvoj i drugoj četvrtini iznadprosječno rangiranih jedinica lokalne samouprave: Jelenje, Čavle, Novi Vinodolski, Matulji, </w:t>
      </w:r>
      <w:proofErr w:type="spellStart"/>
      <w:r w:rsidRPr="00BB08E0">
        <w:rPr>
          <w:rFonts w:eastAsia="Times New Roman" w:cstheme="minorHAnsi"/>
          <w:color w:val="666666"/>
          <w:lang w:eastAsia="hr-HR"/>
        </w:rPr>
        <w:t>Dugopolje</w:t>
      </w:r>
      <w:proofErr w:type="spellEnd"/>
      <w:r w:rsidRPr="00BB08E0">
        <w:rPr>
          <w:rFonts w:eastAsia="Times New Roman" w:cstheme="minorHAnsi"/>
          <w:color w:val="666666"/>
          <w:lang w:eastAsia="hr-HR"/>
        </w:rPr>
        <w:t>, Jasenice, Samobor, Stubičke Toplice.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III.</w:t>
      </w:r>
    </w:p>
    <w:p w:rsidR="003E0F84" w:rsidRPr="00BB08E0" w:rsidRDefault="003E0F84" w:rsidP="003E0F84">
      <w:pPr>
        <w:spacing w:after="0" w:line="336" w:lineRule="atLeast"/>
        <w:jc w:val="center"/>
        <w:rPr>
          <w:rFonts w:eastAsia="Times New Roman" w:cstheme="minorHAnsi"/>
          <w:color w:val="666666"/>
          <w:lang w:eastAsia="hr-HR"/>
        </w:rPr>
      </w:pPr>
      <w:r w:rsidRPr="00BB08E0">
        <w:rPr>
          <w:rFonts w:eastAsia="Times New Roman" w:cstheme="minorHAnsi"/>
          <w:color w:val="666666"/>
          <w:lang w:eastAsia="hr-HR"/>
        </w:rPr>
        <w:t>Ova Odluka stupa na snagu osmoga dana od dana objave u »Narodnim novinama«.</w:t>
      </w:r>
    </w:p>
    <w:p w:rsidR="003E0F84" w:rsidRPr="00BB08E0" w:rsidRDefault="003E0F84" w:rsidP="003E0F84">
      <w:pPr>
        <w:rPr>
          <w:rFonts w:cstheme="minorHAnsi"/>
        </w:rPr>
      </w:pPr>
    </w:p>
    <w:sectPr w:rsidR="003E0F84" w:rsidRPr="00BB08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F84"/>
    <w:rsid w:val="003E0F84"/>
    <w:rsid w:val="009724F6"/>
    <w:rsid w:val="00BB08E0"/>
    <w:rsid w:val="00EC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7155E"/>
  <w15:chartTrackingRefBased/>
  <w15:docId w15:val="{056095CC-ACFF-4A14-A89E-EE6150BB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F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zakon.hr/z/638/Zakon-o-otocim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352</Words>
  <Characters>2009</Characters>
  <Application>Microsoft Office Word</Application>
  <DocSecurity>0</DocSecurity>
  <Lines>16</Lines>
  <Paragraphs>4</Paragraphs>
  <ScaleCrop>false</ScaleCrop>
  <Company>APPRRR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3</cp:revision>
  <dcterms:created xsi:type="dcterms:W3CDTF">2020-02-05T12:27:00Z</dcterms:created>
  <dcterms:modified xsi:type="dcterms:W3CDTF">2020-03-13T08:16:00Z</dcterms:modified>
</cp:coreProperties>
</file>